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C1" w:rsidRDefault="007C1772" w:rsidP="007C1772">
      <w:pPr>
        <w:pStyle w:val="Title"/>
      </w:pPr>
      <w:bookmarkStart w:id="0" w:name="_GoBack"/>
      <w:bookmarkEnd w:id="0"/>
      <w:r>
        <w:t>UF + Quality Matters</w:t>
      </w:r>
    </w:p>
    <w:p w:rsidR="007C1772" w:rsidRDefault="007C1772" w:rsidP="007C1772">
      <w:pPr>
        <w:rPr>
          <w:rStyle w:val="Emphasis"/>
        </w:rPr>
      </w:pPr>
      <w:r w:rsidRPr="007C1772">
        <w:rPr>
          <w:rStyle w:val="Emphasis"/>
        </w:rPr>
        <w:t>Standards for online course design and teaching</w:t>
      </w:r>
    </w:p>
    <w:p w:rsidR="00AF28AF" w:rsidRDefault="00AF28AF" w:rsidP="00AF28AF">
      <w:pPr>
        <w:pStyle w:val="Heading1"/>
        <w:rPr>
          <w:rStyle w:val="Emphasis"/>
          <w:i w:val="0"/>
          <w:iCs w:val="0"/>
          <w:sz w:val="32"/>
        </w:rPr>
      </w:pPr>
      <w:r w:rsidRPr="00AF28AF">
        <w:rPr>
          <w:rStyle w:val="Emphasis"/>
          <w:i w:val="0"/>
          <w:iCs w:val="0"/>
          <w:sz w:val="32"/>
        </w:rPr>
        <w:t>Background</w:t>
      </w:r>
    </w:p>
    <w:p w:rsidR="007A6F2E" w:rsidRDefault="007A6F2E" w:rsidP="007A6F2E">
      <w:pPr>
        <w:pStyle w:val="Default"/>
      </w:pPr>
    </w:p>
    <w:p w:rsidR="007C1772" w:rsidRDefault="007A6F2E" w:rsidP="007A6F2E">
      <w:r w:rsidRPr="007A6F2E">
        <w:t>In an effort to identify both quality and high-quality online courses across the State University System of Florida, a course review process with two levels of recognition is being established: quality and high-quality. The course review process will emphasize the importance of using quality standards, rubric, and process as the basis of the overall review.  As part of this effort,</w:t>
      </w:r>
      <w:r w:rsidR="006F14B3" w:rsidRPr="007A6F2E">
        <w:t xml:space="preserve"> UF’s Quality Assurance Committee has adopted the Quality Matters rubric and merged it with the UF standards. Additional standards have been added to support quality teaching in addition to course design.  </w:t>
      </w:r>
    </w:p>
    <w:p w:rsidR="006F14B3" w:rsidRDefault="00FE4D4C" w:rsidP="00AF28AF">
      <w:pPr>
        <w:pStyle w:val="Heading1"/>
        <w:rPr>
          <w:rStyle w:val="Emphasis"/>
          <w:i w:val="0"/>
          <w:iCs w:val="0"/>
          <w:sz w:val="32"/>
        </w:rPr>
      </w:pPr>
      <w:r w:rsidRPr="00AF28AF">
        <w:rPr>
          <w:rStyle w:val="Emphasis"/>
          <w:i w:val="0"/>
          <w:iCs w:val="0"/>
          <w:sz w:val="32"/>
        </w:rPr>
        <w:t>Quality/High Quality Course Designations</w:t>
      </w:r>
    </w:p>
    <w:p w:rsidR="00AF28AF" w:rsidRPr="00AF28AF" w:rsidRDefault="00AF28AF" w:rsidP="00AF28AF">
      <w:r>
        <w:t xml:space="preserve">Upon institutional review, online courses may earn a Quality or </w:t>
      </w:r>
      <w:r w:rsidR="00637A13">
        <w:t>High Quality</w:t>
      </w:r>
      <w:r>
        <w:t xml:space="preserve"> designation.  These designations will appear in the </w:t>
      </w:r>
      <w:hyperlink r:id="rId7" w:history="1">
        <w:r w:rsidRPr="00AF28AF">
          <w:rPr>
            <w:rStyle w:val="Hyperlink"/>
          </w:rPr>
          <w:t>Florida Virtual Campus course listing</w:t>
        </w:r>
      </w:hyperlink>
      <w:r>
        <w:t>.  Courses receiving a High Quality designation will be eligible for an institution-level President’s Award.</w:t>
      </w:r>
    </w:p>
    <w:p w:rsidR="008C07C4" w:rsidRDefault="00AF28AF" w:rsidP="00AF28AF">
      <w:pPr>
        <w:numPr>
          <w:ilvl w:val="0"/>
          <w:numId w:val="1"/>
        </w:numPr>
        <w:spacing w:after="0" w:line="240" w:lineRule="auto"/>
      </w:pPr>
      <w:r>
        <w:t xml:space="preserve">To receive </w:t>
      </w:r>
      <w:r w:rsidR="007A6F2E">
        <w:t>a</w:t>
      </w:r>
      <w:r>
        <w:t xml:space="preserve"> </w:t>
      </w:r>
      <w:r w:rsidRPr="00AF28AF">
        <w:rPr>
          <w:b/>
        </w:rPr>
        <w:t xml:space="preserve">Quality </w:t>
      </w:r>
      <w:r>
        <w:t>Course designation, a course must</w:t>
      </w:r>
      <w:r w:rsidR="008C07C4">
        <w:t>:</w:t>
      </w:r>
    </w:p>
    <w:p w:rsidR="008C07C4" w:rsidRDefault="007A6F2E" w:rsidP="008C07C4">
      <w:pPr>
        <w:numPr>
          <w:ilvl w:val="1"/>
          <w:numId w:val="1"/>
        </w:numPr>
        <w:spacing w:after="0" w:line="240" w:lineRule="auto"/>
      </w:pPr>
      <w:r>
        <w:t xml:space="preserve">Successfully complete the </w:t>
      </w:r>
      <w:r w:rsidRPr="007A6F2E">
        <w:rPr>
          <w:i/>
        </w:rPr>
        <w:t>Quality Matters Internal Course Review</w:t>
      </w:r>
      <w:r>
        <w:t xml:space="preserve"> process</w:t>
      </w:r>
    </w:p>
    <w:p w:rsidR="008C07C4" w:rsidRDefault="008C07C4" w:rsidP="008C07C4">
      <w:pPr>
        <w:numPr>
          <w:ilvl w:val="1"/>
          <w:numId w:val="1"/>
        </w:numPr>
        <w:spacing w:after="0" w:line="240" w:lineRule="auto"/>
      </w:pPr>
      <w:r>
        <w:t>S</w:t>
      </w:r>
      <w:r w:rsidR="00AF28AF">
        <w:t xml:space="preserve">atisfy all 21 essential Quality Matters standards which are each 3 points </w:t>
      </w:r>
      <w:r>
        <w:t>AND</w:t>
      </w:r>
    </w:p>
    <w:p w:rsidR="00AF28AF" w:rsidRDefault="008C07C4" w:rsidP="008C07C4">
      <w:pPr>
        <w:numPr>
          <w:ilvl w:val="1"/>
          <w:numId w:val="1"/>
        </w:numPr>
        <w:spacing w:after="0" w:line="240" w:lineRule="auto"/>
      </w:pPr>
      <w:r>
        <w:t xml:space="preserve">Earn </w:t>
      </w:r>
      <w:r w:rsidR="00AF28AF">
        <w:t>30 out of 50 UF points</w:t>
      </w:r>
    </w:p>
    <w:p w:rsidR="008C07C4" w:rsidRDefault="00AF28AF" w:rsidP="00AF28AF">
      <w:pPr>
        <w:numPr>
          <w:ilvl w:val="0"/>
          <w:numId w:val="1"/>
        </w:numPr>
        <w:spacing w:after="0" w:line="240" w:lineRule="auto"/>
      </w:pPr>
      <w:r>
        <w:t xml:space="preserve">To receive </w:t>
      </w:r>
      <w:r w:rsidR="007A6F2E">
        <w:t>a</w:t>
      </w:r>
      <w:r>
        <w:t xml:space="preserve"> </w:t>
      </w:r>
      <w:r w:rsidRPr="007A6F2E">
        <w:rPr>
          <w:b/>
        </w:rPr>
        <w:t>High Quality</w:t>
      </w:r>
      <w:r>
        <w:t xml:space="preserve"> Course designation</w:t>
      </w:r>
      <w:r w:rsidR="008C07C4">
        <w:t>, a course must:</w:t>
      </w:r>
    </w:p>
    <w:p w:rsidR="008C07C4" w:rsidRDefault="007A6F2E" w:rsidP="008C07C4">
      <w:pPr>
        <w:numPr>
          <w:ilvl w:val="1"/>
          <w:numId w:val="1"/>
        </w:numPr>
        <w:spacing w:after="0" w:line="240" w:lineRule="auto"/>
      </w:pPr>
      <w:r>
        <w:t xml:space="preserve">Pass an </w:t>
      </w:r>
      <w:r w:rsidRPr="007A6F2E">
        <w:rPr>
          <w:i/>
        </w:rPr>
        <w:t>Official Florida QM Course Review</w:t>
      </w:r>
    </w:p>
    <w:p w:rsidR="00AF28AF" w:rsidRDefault="008C07C4" w:rsidP="008C07C4">
      <w:pPr>
        <w:numPr>
          <w:ilvl w:val="1"/>
          <w:numId w:val="1"/>
        </w:numPr>
        <w:spacing w:after="0" w:line="240" w:lineRule="auto"/>
      </w:pPr>
      <w:r>
        <w:t xml:space="preserve">Earn 21 </w:t>
      </w:r>
      <w:r w:rsidR="00AF28AF">
        <w:t xml:space="preserve">essential </w:t>
      </w:r>
      <w:r>
        <w:t xml:space="preserve">Quality Matters </w:t>
      </w:r>
      <w:r w:rsidR="00AF28AF">
        <w:t xml:space="preserve">3-point standards </w:t>
      </w:r>
      <w:r>
        <w:t>+</w:t>
      </w:r>
      <w:r w:rsidR="00AF28AF">
        <w:t xml:space="preserve"> an overall </w:t>
      </w:r>
      <w:r>
        <w:t xml:space="preserve">QM </w:t>
      </w:r>
      <w:r w:rsidR="00AF28AF">
        <w:t>point value of at least 84/99 points</w:t>
      </w:r>
      <w:r>
        <w:t xml:space="preserve"> AND</w:t>
      </w:r>
    </w:p>
    <w:p w:rsidR="00101370" w:rsidRDefault="008C07C4" w:rsidP="00101370">
      <w:pPr>
        <w:numPr>
          <w:ilvl w:val="1"/>
          <w:numId w:val="1"/>
        </w:numPr>
        <w:spacing w:after="0" w:line="240" w:lineRule="auto"/>
      </w:pPr>
      <w:r>
        <w:t>Earn</w:t>
      </w:r>
      <w:r w:rsidR="00AF28AF">
        <w:t xml:space="preserve"> 42/50 points </w:t>
      </w:r>
      <w:r>
        <w:t>UF points</w:t>
      </w:r>
    </w:p>
    <w:p w:rsidR="00101370" w:rsidRDefault="00101370" w:rsidP="00101370">
      <w:pPr>
        <w:pStyle w:val="Heading1"/>
      </w:pPr>
      <w:r>
        <w:lastRenderedPageBreak/>
        <w:t>Florida Awards Program</w:t>
      </w:r>
    </w:p>
    <w:p w:rsidR="00101370" w:rsidRDefault="00101370" w:rsidP="00101370">
      <w:r>
        <w:t>The quality and/or high quality course review process will allow the University of Florida to participate in the Florida State University System awards program.  Courses that earn a High Quality course designation would be eligible to be considered for state recognition. The program has three levels of recognition:</w:t>
      </w:r>
    </w:p>
    <w:p w:rsidR="00101370" w:rsidRPr="00101370" w:rsidRDefault="00101370" w:rsidP="00101370">
      <w:pPr>
        <w:pStyle w:val="ListParagraph"/>
        <w:numPr>
          <w:ilvl w:val="0"/>
          <w:numId w:val="3"/>
        </w:numPr>
      </w:pPr>
      <w:r w:rsidRPr="00101370">
        <w:t xml:space="preserve">President’s Award – up to 1 per SUS institution (up to 12 total) annually </w:t>
      </w:r>
    </w:p>
    <w:p w:rsidR="00101370" w:rsidRPr="00101370" w:rsidRDefault="00101370" w:rsidP="00101370">
      <w:pPr>
        <w:pStyle w:val="ListParagraph"/>
        <w:numPr>
          <w:ilvl w:val="0"/>
          <w:numId w:val="3"/>
        </w:numPr>
      </w:pPr>
      <w:r w:rsidRPr="00101370">
        <w:t xml:space="preserve">Florida Quality Award – up to 5 annually </w:t>
      </w:r>
    </w:p>
    <w:p w:rsidR="00101370" w:rsidRPr="00101370" w:rsidRDefault="00101370" w:rsidP="00101370">
      <w:pPr>
        <w:pStyle w:val="ListParagraph"/>
        <w:numPr>
          <w:ilvl w:val="0"/>
          <w:numId w:val="3"/>
        </w:numPr>
      </w:pPr>
      <w:r w:rsidRPr="00101370">
        <w:t xml:space="preserve">Chancellor’s Quality Award – no more than 1 annually </w:t>
      </w:r>
    </w:p>
    <w:p w:rsidR="007A6F2E" w:rsidRDefault="007A6F2E" w:rsidP="007A6F2E">
      <w:r>
        <w:t>Details about the course review</w:t>
      </w:r>
      <w:r w:rsidR="00101370">
        <w:t xml:space="preserve"> and awards</w:t>
      </w:r>
      <w:r>
        <w:t xml:space="preserve"> process can be found at</w:t>
      </w:r>
      <w:r w:rsidR="00101370">
        <w:t xml:space="preserve"> teach.ufl.edu.</w:t>
      </w:r>
    </w:p>
    <w:p w:rsidR="00101370" w:rsidRDefault="00101370">
      <w:r>
        <w:br w:type="page"/>
      </w:r>
    </w:p>
    <w:p w:rsidR="00101370" w:rsidRDefault="00101370" w:rsidP="00101370">
      <w:pPr>
        <w:pStyle w:val="Heading1"/>
      </w:pPr>
      <w:r>
        <w:lastRenderedPageBreak/>
        <w:t>UF + Quality Matters Rubric</w:t>
      </w:r>
    </w:p>
    <w:tbl>
      <w:tblPr>
        <w:tblW w:w="935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611"/>
        <w:gridCol w:w="630"/>
        <w:gridCol w:w="630"/>
      </w:tblGrid>
      <w:tr w:rsidR="00CB57AF" w:rsidRPr="007C1772" w:rsidTr="007516C0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101370">
            <w:pPr>
              <w:pStyle w:val="Heading2"/>
            </w:pPr>
            <w:r w:rsidRPr="007C1772">
              <w:t>1</w:t>
            </w:r>
          </w:p>
        </w:tc>
        <w:tc>
          <w:tcPr>
            <w:tcW w:w="7611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DB1815">
            <w:pPr>
              <w:pStyle w:val="Heading2"/>
            </w:pPr>
            <w:r w:rsidRPr="007C1772">
              <w:t>COURSE OVERVIEW INTRODUCTION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637A13" w:rsidRDefault="00637A13" w:rsidP="00637A13">
            <w:pPr>
              <w:pStyle w:val="Heading2"/>
            </w:pPr>
            <w:r w:rsidRPr="00637A13">
              <w:t>QM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637A13" w:rsidRDefault="00637A13" w:rsidP="00637A13">
            <w:pPr>
              <w:pStyle w:val="Heading2"/>
            </w:pPr>
            <w:r w:rsidRPr="00637A13">
              <w:t>UF</w:t>
            </w:r>
          </w:p>
        </w:tc>
      </w:tr>
      <w:tr w:rsidR="00637A13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1.1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Instructions make clear how to get started and where to find various course components.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7A13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1.2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Learners are introduced to the purpose and structure of the course.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7A13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1.3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Etiquette expectations (sometimes called “netiquette”) for online discussions, email, and other forms of communication are clearly stated.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7A13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1.4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Course and/or institutional policies with which the learner is expected to comply are clearly stated, or a link to current policies is provided.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7A13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1.5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Minimum technology requirements are clearly stated and instructions for use provided.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7A13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1.6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Prerequisite knowledge in the discipline and/or any required competencies are clearly stated.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7A13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1.7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Minimum technical skills expected of the learner are clearly stated.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7A13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1.8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self-introduction by the instructor is appropriate and is available online.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7A13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1.9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Learners are asked to introduce themselves to the class.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815" w:rsidRPr="007C1772" w:rsidTr="007516C0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1.10</w:t>
            </w:r>
          </w:p>
        </w:tc>
        <w:tc>
          <w:tcPr>
            <w:tcW w:w="761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A prominent introductory activity confirms student understanding of the syllabus, course requirements and required tools and technologies where appropriate.</w:t>
            </w: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1815" w:rsidRPr="007C1772" w:rsidTr="007516C0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1.12</w:t>
            </w:r>
          </w:p>
        </w:tc>
        <w:tc>
          <w:tcPr>
            <w:tcW w:w="761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Course materials provide written definitions of activities that constitute plagiarism and/or academic misconduct and consequences of committing such behavior.</w:t>
            </w: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772" w:rsidRPr="007C1772" w:rsidRDefault="007C1772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7C1772" w:rsidRDefault="007C1772" w:rsidP="007C1772"/>
    <w:tbl>
      <w:tblPr>
        <w:tblW w:w="935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611"/>
        <w:gridCol w:w="630"/>
        <w:gridCol w:w="630"/>
      </w:tblGrid>
      <w:tr w:rsidR="00C535EC" w:rsidRPr="00C535EC" w:rsidTr="007516C0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pStyle w:val="Heading2"/>
            </w:pPr>
            <w:r w:rsidRPr="007C1772">
              <w:t>2</w:t>
            </w:r>
          </w:p>
        </w:tc>
        <w:tc>
          <w:tcPr>
            <w:tcW w:w="7611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 w:rsidRPr="00C535EC">
              <w:t>LEARNING OBJECTIVES (COMPETENCIES)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 w:rsidRPr="00C535EC">
              <w:t>QM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 w:rsidRPr="00C535EC">
              <w:t>UF</w:t>
            </w: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2.1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course learning objectives, or course/program competencies, describe outcomes that are measurable.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2.2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module/unit learning objectives or competencies describe outcomes that are measurable and consistent with the course-level objectives or competencies.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2.3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All learning objectives or competencies are stated clearly and written from the learner’s perspective.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2.4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relationship between learning objectives or competencies and course activities is clearly stated.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2.5</w:t>
            </w:r>
          </w:p>
        </w:tc>
        <w:tc>
          <w:tcPr>
            <w:tcW w:w="7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learning objectives or competencies are suited to the level of the course.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516C0" w:rsidRDefault="007516C0" w:rsidP="007C1772"/>
    <w:p w:rsidR="007516C0" w:rsidRDefault="007516C0" w:rsidP="007516C0">
      <w:r>
        <w:br w:type="page"/>
      </w:r>
    </w:p>
    <w:tbl>
      <w:tblPr>
        <w:tblW w:w="935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701"/>
        <w:gridCol w:w="630"/>
        <w:gridCol w:w="540"/>
      </w:tblGrid>
      <w:tr w:rsidR="00C535EC" w:rsidRPr="007C1772" w:rsidTr="007516C0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pStyle w:val="Heading2"/>
            </w:pPr>
            <w:r w:rsidRPr="00DB1815">
              <w:lastRenderedPageBreak/>
              <w:t>3</w:t>
            </w:r>
          </w:p>
        </w:tc>
        <w:tc>
          <w:tcPr>
            <w:tcW w:w="7701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 w:rsidRPr="00C535EC">
              <w:t>ASSESSMENT AND MEASUREMENT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 w:rsidRPr="00C535EC">
              <w:t>QM</w:t>
            </w:r>
          </w:p>
        </w:tc>
        <w:tc>
          <w:tcPr>
            <w:tcW w:w="54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 w:rsidRPr="00C535EC">
              <w:t>UF</w:t>
            </w: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3.1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assessments measure the stated learning objectives or competencies.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3.2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course grading policy is stated clearly.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3.3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Specific and descriptive criteria are provided for the evaluation of learners’ work and are tied to the course grading policy.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3.4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assessment instruments selected are sequenced, varied, and suited to the learner work being assessed.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3.5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course provides learners with multiple opportunities to track their learning progress.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535EC" w:rsidRDefault="00C535EC" w:rsidP="007C1772"/>
    <w:tbl>
      <w:tblPr>
        <w:tblW w:w="935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701"/>
        <w:gridCol w:w="630"/>
        <w:gridCol w:w="540"/>
      </w:tblGrid>
      <w:tr w:rsidR="00C535EC" w:rsidRPr="007C1772" w:rsidTr="007516C0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 w:rsidRPr="00C535EC">
              <w:t>4</w:t>
            </w:r>
          </w:p>
        </w:tc>
        <w:tc>
          <w:tcPr>
            <w:tcW w:w="7701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 w:rsidRPr="00C535EC">
              <w:t>INSTRUCTIONAL MATERIALS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>
              <w:t>QM</w:t>
            </w:r>
          </w:p>
        </w:tc>
        <w:tc>
          <w:tcPr>
            <w:tcW w:w="54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>
              <w:t>UF</w:t>
            </w: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4.1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instructional materials contribute to the achievement of the stated course and module/unit learning objectives or competencies.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4.2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Both the purpose of instructional materials and how the materials are to be used for learning activities are clearly explained.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4.3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All instructional materials used in the course are appropriately cited.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4.4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instructional materials are current.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4.5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A variety of instructional materials is used in the course.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4.6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distinction between required and optional materials is clearly explained.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4.7</w:t>
            </w:r>
          </w:p>
        </w:tc>
        <w:tc>
          <w:tcPr>
            <w:tcW w:w="770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Presentations are divided into segments with a target length of 4 - 10 minutes.</w:t>
            </w: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535EC" w:rsidRPr="007C1772" w:rsidTr="007516C0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4.8</w:t>
            </w:r>
          </w:p>
        </w:tc>
        <w:tc>
          <w:tcPr>
            <w:tcW w:w="770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Instructor provides optional supplemental/remedial resources for those students who may need them (e.g. as follow-up to assignment submissions.)</w:t>
            </w: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7516C0" w:rsidRDefault="007516C0" w:rsidP="007C1772"/>
    <w:tbl>
      <w:tblPr>
        <w:tblW w:w="935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701"/>
        <w:gridCol w:w="630"/>
        <w:gridCol w:w="540"/>
      </w:tblGrid>
      <w:tr w:rsidR="00C535EC" w:rsidRPr="007C1772" w:rsidTr="00101370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101370" w:rsidP="00C535EC">
            <w:pPr>
              <w:pStyle w:val="Heading2"/>
            </w:pPr>
            <w:r>
              <w:t>5</w:t>
            </w:r>
          </w:p>
        </w:tc>
        <w:tc>
          <w:tcPr>
            <w:tcW w:w="7701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 w:rsidRPr="00C535EC">
              <w:t>COURSE ACTIVITIES AND LEARNER INTERACTION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 w:rsidRPr="00C535EC">
              <w:t>QM</w:t>
            </w:r>
          </w:p>
        </w:tc>
        <w:tc>
          <w:tcPr>
            <w:tcW w:w="54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C535EC" w:rsidRDefault="00C535EC" w:rsidP="00C535EC">
            <w:pPr>
              <w:pStyle w:val="Heading2"/>
            </w:pPr>
            <w:r w:rsidRPr="00C535EC">
              <w:t>UF</w:t>
            </w:r>
          </w:p>
        </w:tc>
      </w:tr>
      <w:tr w:rsidR="00C535EC" w:rsidRPr="007C1772" w:rsidTr="00E8373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5.1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learning activities promote the achievement of the stated learning objectives or competencies.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E8373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5.2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Learning activities provide opportunities for interaction that support active learning.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E8373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5.3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instructor’s plan for classroom response time and feedback on assignments is clearly stated.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E8373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5.4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requirements for learner interaction are clearly stated.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35EC" w:rsidRPr="007C1772" w:rsidTr="00E8373F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5.5</w:t>
            </w:r>
          </w:p>
        </w:tc>
        <w:tc>
          <w:tcPr>
            <w:tcW w:w="770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Students are given the opportunity to relate personal experiences and apply their background knowledge/skills to the coursework.</w:t>
            </w: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5EC" w:rsidRPr="007C1772" w:rsidRDefault="00C535EC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C535EC" w:rsidRDefault="00C535EC" w:rsidP="007C1772"/>
    <w:tbl>
      <w:tblPr>
        <w:tblW w:w="935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701"/>
        <w:gridCol w:w="630"/>
        <w:gridCol w:w="540"/>
      </w:tblGrid>
      <w:tr w:rsidR="00E8373F" w:rsidRPr="007C1772" w:rsidTr="00101370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101370" w:rsidP="00E8373F">
            <w:pPr>
              <w:pStyle w:val="Heading2"/>
            </w:pPr>
            <w:r>
              <w:t>6</w:t>
            </w:r>
          </w:p>
        </w:tc>
        <w:tc>
          <w:tcPr>
            <w:tcW w:w="7701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E8373F">
            <w:pPr>
              <w:pStyle w:val="Heading2"/>
            </w:pPr>
            <w:r w:rsidRPr="007C1772">
              <w:t>COURSE TECHNOLOGY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E8373F" w:rsidRDefault="00E8373F" w:rsidP="00E8373F">
            <w:pPr>
              <w:pStyle w:val="Heading2"/>
            </w:pPr>
            <w:r w:rsidRPr="00E8373F">
              <w:t>QM</w:t>
            </w:r>
          </w:p>
        </w:tc>
        <w:tc>
          <w:tcPr>
            <w:tcW w:w="54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E8373F" w:rsidRDefault="00E8373F" w:rsidP="00E8373F">
            <w:pPr>
              <w:pStyle w:val="Heading2"/>
            </w:pPr>
            <w:r w:rsidRPr="00E8373F">
              <w:t>UF</w:t>
            </w:r>
          </w:p>
        </w:tc>
      </w:tr>
      <w:tr w:rsidR="00E8373F" w:rsidRPr="007C1772" w:rsidTr="00E8373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6.1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tools used in the course support the learning objectives and competencies.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8373F" w:rsidRPr="007C1772" w:rsidTr="00E8373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6.2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Course tools promote learner engagement and active learning.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8373F" w:rsidRPr="007C1772" w:rsidTr="00E8373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6.3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Technologies required in the course are readily obtainable.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8373F" w:rsidRPr="007C1772" w:rsidTr="00E8373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6.4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course technologies are current.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8373F" w:rsidRPr="007C1772" w:rsidTr="00E8373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6.5</w:t>
            </w:r>
          </w:p>
        </w:tc>
        <w:tc>
          <w:tcPr>
            <w:tcW w:w="7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Links are provided to privacy policies for all external tools required in the course.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8373F" w:rsidRPr="007C1772" w:rsidTr="00E8373F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6.6</w:t>
            </w:r>
          </w:p>
        </w:tc>
        <w:tc>
          <w:tcPr>
            <w:tcW w:w="770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Any single assessment that comprises 15% or more of the total grade uses appropriate security measures such as plagiarism detection and/or proctoring services.</w:t>
            </w: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373F" w:rsidRPr="007C1772" w:rsidRDefault="00E8373F" w:rsidP="007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E8373F" w:rsidRDefault="00E8373F" w:rsidP="007C1772"/>
    <w:tbl>
      <w:tblPr>
        <w:tblW w:w="935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521"/>
        <w:gridCol w:w="720"/>
        <w:gridCol w:w="630"/>
      </w:tblGrid>
      <w:tr w:rsidR="00101370" w:rsidRPr="007C1772" w:rsidTr="00101370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101370">
            <w:pPr>
              <w:pStyle w:val="Heading2"/>
            </w:pPr>
            <w:r>
              <w:t>7</w:t>
            </w:r>
          </w:p>
        </w:tc>
        <w:tc>
          <w:tcPr>
            <w:tcW w:w="7521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101370">
            <w:pPr>
              <w:pStyle w:val="Heading2"/>
            </w:pPr>
            <w:r>
              <w:t>Learner support</w:t>
            </w:r>
          </w:p>
        </w:tc>
        <w:tc>
          <w:tcPr>
            <w:tcW w:w="72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E8373F" w:rsidRDefault="00101370" w:rsidP="00101370">
            <w:pPr>
              <w:pStyle w:val="Heading2"/>
            </w:pPr>
            <w:r w:rsidRPr="00E8373F">
              <w:t>QM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E8373F" w:rsidRDefault="00101370" w:rsidP="00101370">
            <w:pPr>
              <w:pStyle w:val="Heading2"/>
            </w:pPr>
            <w:r w:rsidRPr="00E8373F">
              <w:t>UF</w:t>
            </w:r>
          </w:p>
        </w:tc>
      </w:tr>
      <w:tr w:rsidR="00101370" w:rsidRPr="007C1772" w:rsidTr="00CE1E8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lastRenderedPageBreak/>
              <w:t>QM 7.1</w:t>
            </w:r>
          </w:p>
        </w:tc>
        <w:tc>
          <w:tcPr>
            <w:tcW w:w="7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course instructions articulate or link to a clear description of the technical support offered and how to obtain it.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1370" w:rsidRPr="007C1772" w:rsidTr="00CE1E8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7.2</w:t>
            </w:r>
          </w:p>
        </w:tc>
        <w:tc>
          <w:tcPr>
            <w:tcW w:w="7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Course instructions articulate or link to the institution’s accessibility policies and services.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1370" w:rsidRPr="007C1772" w:rsidTr="00CE1E8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7.3</w:t>
            </w:r>
          </w:p>
        </w:tc>
        <w:tc>
          <w:tcPr>
            <w:tcW w:w="7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Course instructions articulate or link to an explanation of how the institution’s academic support services and resources can help learners succeed in the course and how learners can obtain them.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1370" w:rsidRPr="007C1772" w:rsidTr="00CE1E8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7.4</w:t>
            </w:r>
          </w:p>
        </w:tc>
        <w:tc>
          <w:tcPr>
            <w:tcW w:w="7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Course instructions articulate or link to an explanation of how the institution’s student services and resources can help learners succeed and how learners can obtain them.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137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7.5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Students are encouraged to be self-directed and take responsibility for their learning.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0137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7.6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Provisions are in place to allow for potential failures of technology, and are clearly expressed to students.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370" w:rsidRPr="007C1772" w:rsidRDefault="0010137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7516C0" w:rsidRDefault="007516C0" w:rsidP="007C1772"/>
    <w:p w:rsidR="007516C0" w:rsidRDefault="007516C0" w:rsidP="007516C0">
      <w:r>
        <w:br w:type="page"/>
      </w:r>
    </w:p>
    <w:tbl>
      <w:tblPr>
        <w:tblW w:w="935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521"/>
        <w:gridCol w:w="720"/>
        <w:gridCol w:w="630"/>
      </w:tblGrid>
      <w:tr w:rsidR="007516C0" w:rsidRPr="007C1772" w:rsidTr="007516C0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7516C0">
            <w:pPr>
              <w:pStyle w:val="Heading2"/>
            </w:pPr>
            <w:r>
              <w:lastRenderedPageBreak/>
              <w:t>8</w:t>
            </w:r>
          </w:p>
        </w:tc>
        <w:tc>
          <w:tcPr>
            <w:tcW w:w="7521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7516C0">
            <w:pPr>
              <w:pStyle w:val="Heading2"/>
            </w:pPr>
            <w:r>
              <w:t>Accessibility and usability</w:t>
            </w:r>
          </w:p>
        </w:tc>
        <w:tc>
          <w:tcPr>
            <w:tcW w:w="72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E8373F" w:rsidRDefault="007516C0" w:rsidP="007516C0">
            <w:pPr>
              <w:pStyle w:val="Heading2"/>
            </w:pPr>
            <w:r w:rsidRPr="00E8373F">
              <w:t>QM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E8373F" w:rsidRDefault="007516C0" w:rsidP="007516C0">
            <w:pPr>
              <w:pStyle w:val="Heading2"/>
            </w:pPr>
            <w:r w:rsidRPr="00E8373F">
              <w:t>UF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8.1</w:t>
            </w:r>
          </w:p>
        </w:tc>
        <w:tc>
          <w:tcPr>
            <w:tcW w:w="7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Course navigation facilitates ease of use.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8.2</w:t>
            </w:r>
          </w:p>
        </w:tc>
        <w:tc>
          <w:tcPr>
            <w:tcW w:w="7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Information is provided about the accessibility of all technologies required in the course.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8.3</w:t>
            </w:r>
          </w:p>
        </w:tc>
        <w:tc>
          <w:tcPr>
            <w:tcW w:w="7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course provides alternative means of access to course materials in formats that meet the needs of diverse learners.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8.4</w:t>
            </w:r>
          </w:p>
        </w:tc>
        <w:tc>
          <w:tcPr>
            <w:tcW w:w="7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course design facilitates readability.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QM 8.5</w:t>
            </w:r>
          </w:p>
        </w:tc>
        <w:tc>
          <w:tcPr>
            <w:tcW w:w="7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Course multimedia facilitate ease of use.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8.6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751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 xml:space="preserve">When synchronous sessions are included, reasonable accommodations </w:t>
            </w:r>
            <w:r>
              <w:rPr>
                <w:rFonts w:ascii="Calibri" w:eastAsia="Times New Roman" w:hAnsi="Calibri" w:cs="Calibri"/>
                <w:color w:val="000000"/>
              </w:rPr>
              <w:t>are m</w:t>
            </w:r>
            <w:r w:rsidRPr="007C1772">
              <w:rPr>
                <w:rFonts w:ascii="Calibri" w:eastAsia="Times New Roman" w:hAnsi="Calibri" w:cs="Calibri"/>
                <w:color w:val="000000"/>
              </w:rPr>
              <w:t>ade for students who cannot participate.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8.7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Course meets accessibility standards including but not limited to use of headings and subheadings, alternative image text, and color contrast.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7516C0" w:rsidRDefault="007516C0" w:rsidP="007C1772"/>
    <w:tbl>
      <w:tblPr>
        <w:tblW w:w="935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521"/>
        <w:gridCol w:w="720"/>
        <w:gridCol w:w="630"/>
      </w:tblGrid>
      <w:tr w:rsidR="007516C0" w:rsidRPr="007C1772" w:rsidTr="007516C0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7516C0">
            <w:pPr>
              <w:pStyle w:val="Heading2"/>
            </w:pPr>
            <w:r>
              <w:t>9</w:t>
            </w:r>
          </w:p>
        </w:tc>
        <w:tc>
          <w:tcPr>
            <w:tcW w:w="7521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7516C0">
            <w:pPr>
              <w:pStyle w:val="Heading2"/>
            </w:pPr>
            <w:r>
              <w:t>Instructor Team Presence</w:t>
            </w:r>
          </w:p>
        </w:tc>
        <w:tc>
          <w:tcPr>
            <w:tcW w:w="72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E8373F" w:rsidRDefault="007516C0" w:rsidP="007516C0">
            <w:pPr>
              <w:pStyle w:val="Heading2"/>
            </w:pPr>
            <w:r w:rsidRPr="00E8373F">
              <w:t>QM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E8373F" w:rsidRDefault="007516C0" w:rsidP="007516C0">
            <w:pPr>
              <w:pStyle w:val="Heading2"/>
            </w:pPr>
            <w:r w:rsidRPr="00E8373F">
              <w:t>UF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9.1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The instructor team is visibly present throughout the course via frequent text, audio and/or visual communications.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9.2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Instructor proactively addresses problems as they emerge and is responsive to student concerns.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9.3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Instructor consistently demonstrates enthusiasm for the course subject matter.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9.4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Instructor uses a positive, supportive tone in all communications.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7516C0" w:rsidRDefault="007516C0" w:rsidP="007C1772"/>
    <w:tbl>
      <w:tblPr>
        <w:tblW w:w="935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521"/>
        <w:gridCol w:w="720"/>
        <w:gridCol w:w="630"/>
      </w:tblGrid>
      <w:tr w:rsidR="007516C0" w:rsidRPr="007C1772" w:rsidTr="007516C0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7516C0">
            <w:pPr>
              <w:pStyle w:val="Heading2"/>
            </w:pPr>
            <w:r>
              <w:t>10</w:t>
            </w:r>
          </w:p>
        </w:tc>
        <w:tc>
          <w:tcPr>
            <w:tcW w:w="7521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7516C0">
            <w:pPr>
              <w:pStyle w:val="Heading2"/>
            </w:pPr>
            <w:r>
              <w:t>Community and Relationships</w:t>
            </w:r>
          </w:p>
        </w:tc>
        <w:tc>
          <w:tcPr>
            <w:tcW w:w="72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E8373F" w:rsidRDefault="007516C0" w:rsidP="007516C0">
            <w:pPr>
              <w:pStyle w:val="Heading2"/>
            </w:pPr>
            <w:r w:rsidRPr="00E8373F">
              <w:t>QM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E8373F" w:rsidRDefault="007516C0" w:rsidP="007516C0">
            <w:pPr>
              <w:pStyle w:val="Heading2"/>
            </w:pPr>
            <w:r w:rsidRPr="00E8373F">
              <w:t>UF</w:t>
            </w:r>
          </w:p>
        </w:tc>
      </w:tr>
      <w:tr w:rsidR="007516C0" w:rsidRPr="007C1772" w:rsidTr="00CE1E85">
        <w:trPr>
          <w:trHeight w:val="73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10.1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Course includes regular and substantive interaction between the instructor team and students.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10.2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Instructor provides space and encouragement for students to develop an online learning community.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10.3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Instructor creates an inclusive, supportive, and engaging climate, through a variety of methods.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10.4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Course activities are scheduled and available with sufficient time to allow students to manage their workload.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7516C0" w:rsidRDefault="007516C0" w:rsidP="007C1772"/>
    <w:p w:rsidR="007516C0" w:rsidRDefault="007516C0" w:rsidP="007516C0">
      <w:r>
        <w:br w:type="page"/>
      </w:r>
    </w:p>
    <w:tbl>
      <w:tblPr>
        <w:tblW w:w="935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521"/>
        <w:gridCol w:w="720"/>
        <w:gridCol w:w="630"/>
      </w:tblGrid>
      <w:tr w:rsidR="007516C0" w:rsidRPr="007C1772" w:rsidTr="007516C0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7516C0">
            <w:pPr>
              <w:pStyle w:val="Heading2"/>
            </w:pPr>
            <w:r>
              <w:lastRenderedPageBreak/>
              <w:t>11</w:t>
            </w:r>
          </w:p>
        </w:tc>
        <w:tc>
          <w:tcPr>
            <w:tcW w:w="7521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7516C0">
            <w:pPr>
              <w:pStyle w:val="Heading2"/>
            </w:pPr>
            <w:r>
              <w:t>Feedback</w:t>
            </w:r>
          </w:p>
        </w:tc>
        <w:tc>
          <w:tcPr>
            <w:tcW w:w="72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E8373F" w:rsidRDefault="007516C0" w:rsidP="007516C0">
            <w:pPr>
              <w:pStyle w:val="Heading2"/>
            </w:pPr>
            <w:r w:rsidRPr="00E8373F">
              <w:t>QM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E8373F" w:rsidRDefault="007516C0" w:rsidP="007516C0">
            <w:pPr>
              <w:pStyle w:val="Heading2"/>
            </w:pPr>
            <w:r w:rsidRPr="00E8373F">
              <w:t>UF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11.1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Feedback is provided in sufficient time for students to prog</w:t>
            </w:r>
            <w:r w:rsidR="00AE25CE">
              <w:rPr>
                <w:rFonts w:ascii="Calibri" w:eastAsia="Times New Roman" w:hAnsi="Calibri" w:cs="Calibri"/>
                <w:color w:val="000000"/>
              </w:rPr>
              <w:t>r</w:t>
            </w:r>
            <w:r w:rsidRPr="007C1772">
              <w:rPr>
                <w:rFonts w:ascii="Calibri" w:eastAsia="Times New Roman" w:hAnsi="Calibri" w:cs="Calibri"/>
                <w:color w:val="000000"/>
              </w:rPr>
              <w:t>ess.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11.2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Instructor team provides constructive and balanced feedback that acknowledges strengths as well as areas for improvement.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11.3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Instructor requests student feedback on the course (assignments, materials and/or presentations).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UF 11.4</w:t>
            </w: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Instructor demonstrates ongoing changes and improvements based on constructive student feedback provided in current or previous term.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7516C0" w:rsidRDefault="007516C0" w:rsidP="007C1772"/>
    <w:tbl>
      <w:tblPr>
        <w:tblW w:w="935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521"/>
        <w:gridCol w:w="720"/>
        <w:gridCol w:w="630"/>
      </w:tblGrid>
      <w:tr w:rsidR="007516C0" w:rsidRPr="007C1772" w:rsidTr="007516C0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7516C0">
            <w:pPr>
              <w:pStyle w:val="Heading2"/>
            </w:pPr>
            <w:r>
              <w:t>12</w:t>
            </w:r>
          </w:p>
        </w:tc>
        <w:tc>
          <w:tcPr>
            <w:tcW w:w="7521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7516C0">
            <w:pPr>
              <w:pStyle w:val="Heading2"/>
            </w:pPr>
            <w:r>
              <w:t>Additional Examples of Quality</w:t>
            </w:r>
          </w:p>
        </w:tc>
        <w:tc>
          <w:tcPr>
            <w:tcW w:w="72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E8373F" w:rsidRDefault="007516C0" w:rsidP="007516C0">
            <w:pPr>
              <w:pStyle w:val="Heading2"/>
            </w:pPr>
            <w:r w:rsidRPr="00E8373F">
              <w:t>QM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E8373F" w:rsidRDefault="007516C0" w:rsidP="007516C0">
            <w:pPr>
              <w:pStyle w:val="Heading2"/>
            </w:pPr>
            <w:r w:rsidRPr="00E8373F">
              <w:t>UF</w:t>
            </w:r>
          </w:p>
        </w:tc>
      </w:tr>
      <w:tr w:rsidR="007516C0" w:rsidRPr="007C1772" w:rsidTr="007516C0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5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516C0" w:rsidRPr="007C1772" w:rsidTr="007516C0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5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516C0" w:rsidRPr="007C1772" w:rsidTr="007516C0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5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516C0" w:rsidRPr="007C1772" w:rsidTr="007516C0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5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16C0" w:rsidRPr="007516C0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516C0" w:rsidRPr="007C1772" w:rsidTr="00CE1E85">
        <w:trPr>
          <w:trHeight w:val="315"/>
        </w:trPr>
        <w:tc>
          <w:tcPr>
            <w:tcW w:w="0" w:type="auto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21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Total Points Available</w:t>
            </w:r>
          </w:p>
        </w:tc>
        <w:tc>
          <w:tcPr>
            <w:tcW w:w="72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630" w:type="dxa"/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16C0" w:rsidRPr="007C1772" w:rsidRDefault="007516C0" w:rsidP="00CE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177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</w:tbl>
    <w:p w:rsidR="007516C0" w:rsidRPr="007C1772" w:rsidRDefault="007516C0" w:rsidP="007C1772"/>
    <w:sectPr w:rsidR="007516C0" w:rsidRPr="007C17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69" w:rsidRDefault="00266B69" w:rsidP="00101370">
      <w:pPr>
        <w:spacing w:after="0" w:line="240" w:lineRule="auto"/>
      </w:pPr>
      <w:r>
        <w:separator/>
      </w:r>
    </w:p>
  </w:endnote>
  <w:endnote w:type="continuationSeparator" w:id="0">
    <w:p w:rsidR="00266B69" w:rsidRDefault="00266B69" w:rsidP="0010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4106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01370" w:rsidRDefault="0010137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</w:t>
        </w:r>
        <w:r w:rsidRPr="00101370">
          <w:rPr>
            <w:i/>
            <w:color w:val="767171" w:themeColor="background2" w:themeShade="80"/>
          </w:rPr>
          <w:t>University of Florida Office of Faculty Development and Teaching Excellence</w:t>
        </w:r>
        <w:r w:rsidRPr="00101370">
          <w:rPr>
            <w:color w:val="767171" w:themeColor="background2" w:themeShade="80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F6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01370" w:rsidRDefault="00101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69" w:rsidRDefault="00266B69" w:rsidP="00101370">
      <w:pPr>
        <w:spacing w:after="0" w:line="240" w:lineRule="auto"/>
      </w:pPr>
      <w:r>
        <w:separator/>
      </w:r>
    </w:p>
  </w:footnote>
  <w:footnote w:type="continuationSeparator" w:id="0">
    <w:p w:rsidR="00266B69" w:rsidRDefault="00266B69" w:rsidP="0010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4A1D"/>
    <w:multiLevelType w:val="hybridMultilevel"/>
    <w:tmpl w:val="C8088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4721F"/>
    <w:multiLevelType w:val="hybridMultilevel"/>
    <w:tmpl w:val="E59A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72"/>
    <w:rsid w:val="00101043"/>
    <w:rsid w:val="00101370"/>
    <w:rsid w:val="002637C7"/>
    <w:rsid w:val="00266B69"/>
    <w:rsid w:val="002D20E4"/>
    <w:rsid w:val="004A1ECB"/>
    <w:rsid w:val="005C272E"/>
    <w:rsid w:val="005C54EF"/>
    <w:rsid w:val="00637A13"/>
    <w:rsid w:val="006F14B3"/>
    <w:rsid w:val="00745E50"/>
    <w:rsid w:val="007516C0"/>
    <w:rsid w:val="007A6F2E"/>
    <w:rsid w:val="007C1772"/>
    <w:rsid w:val="00895F6D"/>
    <w:rsid w:val="008C07C4"/>
    <w:rsid w:val="00941BD2"/>
    <w:rsid w:val="00A03E97"/>
    <w:rsid w:val="00AE25CE"/>
    <w:rsid w:val="00AF28AF"/>
    <w:rsid w:val="00AF4A26"/>
    <w:rsid w:val="00C535EC"/>
    <w:rsid w:val="00CB57AF"/>
    <w:rsid w:val="00DB1815"/>
    <w:rsid w:val="00E8373F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81FDA-787E-41B5-B05D-8F4245D4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5EC"/>
    <w:pPr>
      <w:spacing w:after="0" w:line="240" w:lineRule="auto"/>
      <w:jc w:val="center"/>
      <w:outlineLvl w:val="1"/>
    </w:pPr>
    <w:rPr>
      <w:rFonts w:ascii="Calibri" w:eastAsia="Times New Roman" w:hAnsi="Calibri" w:cs="Calibri"/>
      <w:b/>
      <w:cap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1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C1772"/>
    <w:rPr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6F14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4B3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C535EC"/>
    <w:rPr>
      <w:rFonts w:ascii="Calibri" w:eastAsia="Times New Roman" w:hAnsi="Calibri" w:cs="Calibri"/>
      <w:b/>
      <w:cap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37A13"/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</w:rPr>
  </w:style>
  <w:style w:type="paragraph" w:customStyle="1" w:styleId="Default">
    <w:name w:val="Default"/>
    <w:rsid w:val="007A6F2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1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70"/>
  </w:style>
  <w:style w:type="paragraph" w:styleId="Footer">
    <w:name w:val="footer"/>
    <w:basedOn w:val="Normal"/>
    <w:link w:val="FooterChar"/>
    <w:uiPriority w:val="99"/>
    <w:unhideWhenUsed/>
    <w:rsid w:val="00101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loridashines.org/go-to-college/explore-colleges-univers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Brophy,Timothy S</cp:lastModifiedBy>
  <cp:revision>2</cp:revision>
  <dcterms:created xsi:type="dcterms:W3CDTF">2018-03-28T14:53:00Z</dcterms:created>
  <dcterms:modified xsi:type="dcterms:W3CDTF">2018-03-28T14:53:00Z</dcterms:modified>
</cp:coreProperties>
</file>